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TSG-WG2 Meeting #</w:t>
      </w:r>
      <w:r>
        <w:rPr>
          <w:rFonts w:hint="eastAsia" w:ascii="Arial" w:hAnsi="Arial" w:cs="Arial"/>
          <w:b/>
          <w:bCs/>
          <w:snapToGrid w:val="0"/>
          <w:sz w:val="28"/>
          <w:szCs w:val="28"/>
        </w:rPr>
        <w:t>11</w:t>
      </w:r>
      <w:r>
        <w:rPr>
          <w:rFonts w:hint="eastAsia" w:ascii="Arial" w:hAnsi="Arial" w:cs="Arial"/>
          <w:b/>
          <w:bCs/>
          <w:snapToGrid w:val="0"/>
          <w:sz w:val="28"/>
          <w:szCs w:val="28"/>
          <w:lang w:val="en-US" w:eastAsia="zh-CN"/>
        </w:rPr>
        <w:t>9</w:t>
      </w:r>
      <w:r>
        <w:rPr>
          <w:rFonts w:hint="eastAsia" w:ascii="Arial" w:hAnsi="Arial" w:cs="Arial"/>
          <w:b/>
          <w:bCs/>
          <w:snapToGrid w:val="0"/>
          <w:sz w:val="28"/>
          <w:szCs w:val="28"/>
        </w:rPr>
        <w:t xml:space="preserve"> electronic</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ascii="Arial" w:hAnsi="Arial" w:cs="Arial"/>
          <w:b/>
          <w:bCs/>
          <w:snapToGrid w:val="0"/>
          <w:sz w:val="28"/>
          <w:szCs w:val="28"/>
        </w:rPr>
        <w:t>R2-</w:t>
      </w:r>
      <w:r>
        <w:rPr>
          <w:rFonts w:hint="eastAsia" w:ascii="Arial" w:hAnsi="Arial" w:cs="Arial"/>
          <w:b/>
          <w:bCs/>
          <w:snapToGrid w:val="0"/>
          <w:sz w:val="28"/>
          <w:szCs w:val="28"/>
        </w:rPr>
        <w:t>2</w:t>
      </w:r>
      <w:r>
        <w:rPr>
          <w:rFonts w:hint="eastAsia" w:ascii="Arial" w:hAnsi="Arial" w:cs="Arial"/>
          <w:b/>
          <w:bCs/>
          <w:snapToGrid w:val="0"/>
          <w:sz w:val="28"/>
          <w:szCs w:val="28"/>
          <w:lang w:val="en-US" w:eastAsia="zh-CN"/>
        </w:rPr>
        <w:t>208428</w:t>
      </w:r>
    </w:p>
    <w:p>
      <w:pPr>
        <w:widowControl w:val="0"/>
        <w:tabs>
          <w:tab w:val="left" w:pos="1701"/>
          <w:tab w:val="right" w:pos="9923"/>
        </w:tabs>
        <w:spacing w:before="120"/>
        <w:outlineLvl w:val="0"/>
        <w:rPr>
          <w:b/>
          <w:sz w:val="24"/>
        </w:rPr>
      </w:pPr>
      <w:r>
        <w:rPr>
          <w:rFonts w:ascii="Arial" w:hAnsi="Arial" w:cs="Arial"/>
          <w:b/>
          <w:bCs/>
          <w:sz w:val="28"/>
          <w:szCs w:val="28"/>
          <w:lang w:val="en-GB"/>
        </w:rPr>
        <w:t>O</w:t>
      </w:r>
      <w:r>
        <w:rPr>
          <w:rFonts w:hint="eastAsia" w:ascii="Arial" w:hAnsi="Arial" w:cs="Arial"/>
          <w:b/>
          <w:bCs/>
          <w:sz w:val="28"/>
          <w:szCs w:val="28"/>
          <w:lang w:val="en-GB"/>
        </w:rPr>
        <w:t>nline,</w:t>
      </w:r>
      <w:r>
        <w:rPr>
          <w:rFonts w:ascii="Arial" w:hAnsi="Arial" w:cs="Arial"/>
          <w:b/>
          <w:bCs/>
          <w:sz w:val="28"/>
          <w:szCs w:val="28"/>
          <w:lang w:val="en-GB"/>
        </w:rPr>
        <w:t xml:space="preserve"> </w:t>
      </w:r>
      <w:r>
        <w:rPr>
          <w:rFonts w:hint="eastAsia" w:ascii="Arial" w:hAnsi="Arial" w:cs="Arial"/>
          <w:b/>
          <w:bCs/>
          <w:sz w:val="28"/>
          <w:szCs w:val="28"/>
          <w:lang w:val="en-GB"/>
        </w:rPr>
        <w:t>Aug, 202</w:t>
      </w:r>
      <w:r>
        <w:rPr>
          <w:rFonts w:hint="eastAsia" w:ascii="Arial" w:hAnsi="Arial" w:cs="Arial"/>
          <w:b/>
          <w:bCs/>
          <w:sz w:val="28"/>
          <w:szCs w:val="28"/>
          <w:lang w:val="en-US" w:eastAsia="zh-CN"/>
        </w:rPr>
        <w:t>2</w:t>
      </w:r>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8D8D8" w:themeColor="background1" w:themeShade="D9"/>
          <w:sz w:val="20"/>
          <w:szCs w:val="28"/>
          <w:lang w:val="en-GB"/>
        </w:rPr>
        <w:t xml:space="preserve">   </w:t>
      </w:r>
      <w:r>
        <w:rPr>
          <w:rFonts w:ascii="Arial" w:hAnsi="Arial" w:cs="Arial"/>
          <w:b/>
          <w:bCs/>
          <w:sz w:val="28"/>
          <w:szCs w:val="28"/>
          <w:lang w:val="en-GB"/>
        </w:rPr>
        <w:t xml:space="preserve"> </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lang w:val="en-US" w:eastAsia="zh-CN"/>
        </w:rPr>
        <w:t xml:space="preserve"> Service continuity on U2N relay </w:t>
      </w:r>
    </w:p>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rPr>
        <w:t>8</w:t>
      </w:r>
      <w:r>
        <w:rPr>
          <w:rFonts w:hint="eastAsia" w:ascii="Arial" w:hAnsi="Arial" w:cs="Arial"/>
          <w:b/>
          <w:bCs/>
          <w:snapToGrid w:val="0"/>
          <w:sz w:val="28"/>
          <w:szCs w:val="28"/>
          <w:lang w:val="en-US" w:eastAsia="zh-CN"/>
        </w:rPr>
        <w:t>.9.3</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rPr>
          <w:lang w:eastAsia="zh-CN"/>
        </w:rPr>
      </w:pPr>
      <w:bookmarkStart w:id="2" w:name="OLE_LINK57"/>
      <w:bookmarkStart w:id="3" w:name="OLE_LINK58"/>
      <w:r>
        <w:t>Introduction</w:t>
      </w:r>
      <w:bookmarkEnd w:id="2"/>
      <w:bookmarkEnd w:id="3"/>
    </w:p>
    <w:p>
      <w:bookmarkStart w:id="4" w:name="OLE_LINK98"/>
      <w:bookmarkStart w:id="5" w:name="OLE_LINK99"/>
      <w:r>
        <w:rPr>
          <w:rFonts w:hint="eastAsia"/>
          <w:lang w:val="en-US" w:eastAsia="zh-CN"/>
        </w:rPr>
        <w:t xml:space="preserve">Service continuity in </w:t>
      </w:r>
      <w:r>
        <w:t>Rel-17 work item “NR Sidelink Relay” is limited to intra-gNB direct-to-indirect and indirect-to-direct path switching in Layer-2 relay</w:t>
      </w:r>
      <w:r>
        <w:rPr>
          <w:rFonts w:hint="eastAsia"/>
          <w:lang w:val="en-US" w:eastAsia="zh-CN"/>
        </w:rPr>
        <w:t xml:space="preserve"> due to lack of time. In R18, the mobility scenarios have been extended to inter-gNB and indirect to indirect path switching. We list the description in the WID [1],</w:t>
      </w:r>
    </w:p>
    <w:bookmarkEnd w:id="4"/>
    <w:bookmarkEnd w:id="5"/>
    <w:p>
      <w:pPr>
        <w:numPr>
          <w:ilvl w:val="0"/>
          <w:numId w:val="0"/>
        </w:numPr>
        <w:spacing w:before="120" w:after="0" w:line="280" w:lineRule="atLeast"/>
        <w:ind w:leftChars="0"/>
        <w:jc w:val="both"/>
        <w:textAlignment w:val="auto"/>
        <w:rPr>
          <w:i/>
          <w:iCs/>
          <w:lang w:eastAsia="ko-KR"/>
        </w:rPr>
      </w:pPr>
      <w:bookmarkStart w:id="6" w:name="OLE_LINK72"/>
      <w:bookmarkStart w:id="7" w:name="OLE_LINK71"/>
      <w:r>
        <w:rPr>
          <w:rFonts w:hint="eastAsia"/>
          <w:i/>
          <w:iCs/>
          <w:lang w:eastAsia="ko-KR"/>
        </w:rPr>
        <w:t xml:space="preserve">Specify mechanisms </w:t>
      </w:r>
      <w:r>
        <w:rPr>
          <w:i/>
          <w:iCs/>
          <w:lang w:eastAsia="ko-KR"/>
        </w:rPr>
        <w:t>to enhance service continuity for single-hop Layer-2 UE-to-Network relay for the following scenarios [RAN2, RAN3]:</w:t>
      </w:r>
    </w:p>
    <w:p>
      <w:pPr>
        <w:numPr>
          <w:ilvl w:val="1"/>
          <w:numId w:val="28"/>
        </w:numPr>
        <w:spacing w:before="120" w:after="0" w:line="280" w:lineRule="atLeast"/>
        <w:jc w:val="both"/>
        <w:textAlignment w:val="auto"/>
        <w:rPr>
          <w:i/>
          <w:iCs/>
          <w:lang w:eastAsia="ko-KR"/>
        </w:rPr>
      </w:pPr>
      <w:r>
        <w:rPr>
          <w:i/>
          <w:iCs/>
          <w:lang w:eastAsia="ko-KR"/>
        </w:rPr>
        <w:t>Inter-gNB indirect-to-direct path switching (i.e., “remote UE &lt;-&gt; relay UE A &lt;-&gt; gNB X” to “remote UE &lt;-&gt; gNB Y”)</w:t>
      </w:r>
    </w:p>
    <w:p>
      <w:pPr>
        <w:numPr>
          <w:ilvl w:val="1"/>
          <w:numId w:val="28"/>
        </w:numPr>
        <w:spacing w:before="120" w:after="0" w:line="280" w:lineRule="atLeast"/>
        <w:jc w:val="both"/>
        <w:textAlignment w:val="auto"/>
        <w:rPr>
          <w:i/>
          <w:iCs/>
          <w:lang w:eastAsia="ko-KR"/>
        </w:rPr>
      </w:pPr>
      <w:r>
        <w:rPr>
          <w:i/>
          <w:iCs/>
          <w:lang w:eastAsia="ko-KR"/>
        </w:rPr>
        <w:t>Inter-gNB direct-to-indirect path switching (i.e., “remote UE &lt;-&gt; gNB X” to “remote UE &lt;-&gt; relay UE A &lt;-&gt; gNB Y”)</w:t>
      </w:r>
    </w:p>
    <w:p>
      <w:pPr>
        <w:numPr>
          <w:ilvl w:val="1"/>
          <w:numId w:val="28"/>
        </w:numPr>
        <w:spacing w:before="120" w:after="0" w:line="280" w:lineRule="atLeast"/>
        <w:jc w:val="both"/>
        <w:textAlignment w:val="auto"/>
        <w:rPr>
          <w:i/>
          <w:iCs/>
          <w:lang w:eastAsia="ko-KR"/>
        </w:rPr>
      </w:pPr>
      <w:r>
        <w:rPr>
          <w:i/>
          <w:iCs/>
          <w:lang w:eastAsia="ko-KR"/>
        </w:rPr>
        <w:t>Intra-gNB indirect-to-indirect path switching (i.e., “remote UE &lt;-&gt; relay UE A &lt;-&gt; gNB X” to “remote UE &lt;-&gt; relay UE B &lt;-&gt; gNB X”)</w:t>
      </w:r>
    </w:p>
    <w:p>
      <w:pPr>
        <w:numPr>
          <w:ilvl w:val="1"/>
          <w:numId w:val="28"/>
        </w:numPr>
        <w:spacing w:before="120" w:after="0" w:line="280" w:lineRule="atLeast"/>
        <w:jc w:val="both"/>
        <w:textAlignment w:val="auto"/>
        <w:rPr>
          <w:i/>
          <w:iCs/>
          <w:lang w:eastAsia="ko-KR"/>
        </w:rPr>
      </w:pPr>
      <w:r>
        <w:rPr>
          <w:i/>
          <w:iCs/>
          <w:lang w:eastAsia="ko-KR"/>
        </w:rPr>
        <w:t>Inter-gNB indirect-to-indirect path switching (i.e., “remote UE&lt;-&gt; relay UE A &lt;-&gt; gNB X” to “remote UE &lt;-&gt; relay UE B &lt;-&gt; gNB Y”)</w:t>
      </w:r>
    </w:p>
    <w:p>
      <w:pPr>
        <w:spacing w:before="120" w:after="0" w:line="280" w:lineRule="atLeast"/>
        <w:ind w:left="400"/>
        <w:jc w:val="both"/>
        <w:textAlignment w:val="auto"/>
        <w:rPr>
          <w:i/>
          <w:iCs/>
          <w:lang w:eastAsia="ko-KR"/>
        </w:rPr>
      </w:pPr>
      <w:r>
        <w:rPr>
          <w:rFonts w:hint="eastAsia"/>
          <w:i/>
          <w:iCs/>
          <w:lang w:eastAsia="ko-KR"/>
        </w:rPr>
        <w:t>N</w:t>
      </w:r>
      <w:r>
        <w:rPr>
          <w:i/>
          <w:iCs/>
          <w:lang w:eastAsia="ko-KR"/>
        </w:rPr>
        <w:t>ote 2A: Scenario D is to be supported by reusing solutions for the other scenarios without specific optimizations.</w:t>
      </w:r>
    </w:p>
    <w:p>
      <w:pPr>
        <w:spacing w:before="120" w:after="0" w:line="280" w:lineRule="atLeast"/>
        <w:ind w:left="400"/>
        <w:jc w:val="both"/>
        <w:textAlignment w:val="auto"/>
        <w:rPr>
          <w:rFonts w:hint="eastAsia"/>
          <w:i/>
          <w:iCs/>
          <w:lang w:eastAsia="ko-KR"/>
        </w:rPr>
      </w:pPr>
    </w:p>
    <w:p>
      <w:pPr>
        <w:adjustRightInd/>
        <w:spacing w:after="240" w:line="259" w:lineRule="auto"/>
        <w:contextualSpacing/>
        <w:jc w:val="both"/>
        <w:rPr>
          <w:rFonts w:hint="default" w:eastAsiaTheme="minorEastAsia"/>
          <w:lang w:val="en-US" w:eastAsia="zh-CN"/>
        </w:rPr>
      </w:pPr>
      <w:r>
        <w:t>I</w:t>
      </w:r>
      <w:r>
        <w:rPr>
          <w:rFonts w:hint="eastAsia"/>
        </w:rPr>
        <w:t xml:space="preserve">n this </w:t>
      </w:r>
      <w:r>
        <w:t>contribution</w:t>
      </w:r>
      <w:r>
        <w:rPr>
          <w:rFonts w:hint="eastAsia"/>
        </w:rPr>
        <w:t xml:space="preserve">, we will discuss the </w:t>
      </w:r>
      <w:r>
        <w:rPr>
          <w:rFonts w:hint="eastAsia"/>
          <w:lang w:val="en-US" w:eastAsia="zh-CN"/>
        </w:rPr>
        <w:t>four scenarios preliminary, and clarify the division of work for RAN2 and RAN3.</w:t>
      </w:r>
    </w:p>
    <w:p>
      <w:pPr>
        <w:pStyle w:val="2"/>
      </w:pPr>
      <w:r>
        <w:t>D</w:t>
      </w:r>
      <w:r>
        <w:rPr>
          <w:rFonts w:hint="eastAsia"/>
        </w:rPr>
        <w:t>iscussion</w:t>
      </w:r>
      <w:bookmarkEnd w:id="6"/>
      <w:bookmarkEnd w:id="7"/>
      <w:bookmarkStart w:id="8" w:name="_Hlk59519022"/>
    </w:p>
    <w:p>
      <w:pPr>
        <w:numPr>
          <w:ilvl w:val="0"/>
          <w:numId w:val="0"/>
        </w:numPr>
        <w:spacing w:before="120" w:after="0" w:line="280" w:lineRule="atLeast"/>
        <w:jc w:val="both"/>
        <w:textAlignment w:val="auto"/>
        <w:rPr>
          <w:rFonts w:hint="default"/>
          <w:b w:val="0"/>
          <w:bCs w:val="0"/>
          <w:lang w:val="en-US" w:eastAsia="zh-CN"/>
        </w:rPr>
      </w:pPr>
      <w:r>
        <w:rPr>
          <w:rFonts w:hint="eastAsia"/>
          <w:b w:val="0"/>
          <w:bCs w:val="0"/>
          <w:lang w:val="en-US" w:eastAsia="zh-CN"/>
        </w:rPr>
        <w:t>IN R17, path switching between direct and indirect path procedure have been studied in TS 38.300 [1]. For the 4 mobility scenarios in R18, we should firstly analysis whether there are any similar part as R17 and try to reuse the R17 procedure for that as much as possible to save time. Here, we take scenario A as an example.</w:t>
      </w:r>
    </w:p>
    <w:p>
      <w:pPr>
        <w:numPr>
          <w:ilvl w:val="0"/>
          <w:numId w:val="0"/>
        </w:numPr>
        <w:spacing w:before="120" w:after="0" w:line="280" w:lineRule="atLeast"/>
        <w:jc w:val="both"/>
        <w:textAlignment w:val="auto"/>
        <w:rPr>
          <w:rFonts w:hint="eastAsia"/>
          <w:i w:val="0"/>
          <w:iCs w:val="0"/>
          <w:lang w:val="en-US" w:eastAsia="zh-CN"/>
        </w:rPr>
      </w:pPr>
      <w:r>
        <w:rPr>
          <w:rFonts w:hint="eastAsia"/>
          <w:b w:val="0"/>
          <w:bCs w:val="0"/>
          <w:lang w:val="en-US" w:eastAsia="zh-CN"/>
        </w:rPr>
        <w:t>I</w:t>
      </w:r>
      <w:r>
        <w:t>n case of U2N Remote UE switching</w:t>
      </w:r>
      <w:r>
        <w:rPr>
          <w:rFonts w:hint="eastAsia"/>
          <w:lang w:val="en-US" w:eastAsia="zh-CN"/>
        </w:rPr>
        <w:t xml:space="preserve"> from indirect</w:t>
      </w:r>
      <w:r>
        <w:t xml:space="preserve"> to direct path</w:t>
      </w:r>
      <w:r>
        <w:rPr>
          <w:rFonts w:hint="eastAsia"/>
          <w:lang w:val="en-US" w:eastAsia="zh-CN"/>
        </w:rPr>
        <w:t>,</w:t>
      </w:r>
      <w:r>
        <w:t xml:space="preserve"> the following procedure</w:t>
      </w:r>
      <w:r>
        <w:rPr>
          <w:rFonts w:hint="eastAsia"/>
          <w:lang w:val="en-US" w:eastAsia="zh-CN"/>
        </w:rPr>
        <w:t xml:space="preserve"> in Figure 1</w:t>
      </w:r>
      <w:r>
        <w:t xml:space="preserve"> is used</w:t>
      </w:r>
      <w:r>
        <w:rPr>
          <w:rFonts w:hint="eastAsia"/>
          <w:lang w:val="en-US" w:eastAsia="zh-CN"/>
        </w:rPr>
        <w:t>. In Figure 2, we draft the basic procedure for scenario A (</w:t>
      </w:r>
      <w:r>
        <w:rPr>
          <w:i w:val="0"/>
          <w:iCs w:val="0"/>
          <w:lang w:eastAsia="ko-KR"/>
        </w:rPr>
        <w:t>Inter-gNB indirect-to-direct path switching</w:t>
      </w:r>
      <w:r>
        <w:rPr>
          <w:rFonts w:hint="eastAsia"/>
          <w:i w:val="0"/>
          <w:iCs w:val="0"/>
          <w:lang w:val="en-US" w:eastAsia="zh-CN"/>
        </w:rPr>
        <w:t xml:space="preserve">) with our understanding. </w:t>
      </w:r>
    </w:p>
    <w:p>
      <w:pPr>
        <w:pStyle w:val="119"/>
        <w:rPr>
          <w:rFonts w:cs="Arial"/>
        </w:rPr>
      </w:pPr>
      <w:r>
        <w:object>
          <v:shape id="_x0000_i1025" o:spt="75" type="#_x0000_t75" style="height:245.95pt;width:279.75pt;" o:ole="t" filled="f" o:preferrelative="t" stroked="f" coordsize="21600,21600">
            <v:path/>
            <v:fill on="f" focussize="0,0"/>
            <v:stroke on="f"/>
            <v:imagedata r:id="rId10" o:title=""/>
            <o:lock v:ext="edit" aspectratio="t"/>
            <w10:wrap type="none"/>
            <w10:anchorlock/>
          </v:shape>
          <o:OLEObject Type="Embed" ProgID="Visio.Drawing.15" ShapeID="_x0000_i1025" DrawAspect="Content" ObjectID="_1468075725" r:id="rId9">
            <o:LockedField>false</o:LockedField>
          </o:OLEObject>
        </w:object>
      </w:r>
    </w:p>
    <w:p>
      <w:pPr>
        <w:pStyle w:val="126"/>
        <w:rPr>
          <w:rFonts w:hint="default" w:ascii="Times New Roman" w:hAnsi="Times New Roman" w:cs="Times New Roman" w:eastAsiaTheme="minorEastAsia"/>
          <w:lang w:val="en-US" w:eastAsia="zh-CN"/>
        </w:rPr>
      </w:pPr>
      <w:r>
        <w:rPr>
          <w:rFonts w:hint="default" w:ascii="Times New Roman" w:hAnsi="Times New Roman" w:cs="Times New Roman"/>
        </w:rPr>
        <w:t xml:space="preserve">Figure </w:t>
      </w:r>
      <w:r>
        <w:rPr>
          <w:rFonts w:hint="default" w:ascii="Times New Roman" w:hAnsi="Times New Roman" w:cs="Times New Roman"/>
          <w:lang w:val="en-US" w:eastAsia="zh-CN"/>
        </w:rPr>
        <w:t>1:</w:t>
      </w:r>
      <w:r>
        <w:rPr>
          <w:rFonts w:hint="default" w:ascii="Times New Roman" w:hAnsi="Times New Roman" w:cs="Times New Roman"/>
        </w:rPr>
        <w:t xml:space="preserve"> Procedure </w:t>
      </w:r>
      <w:r>
        <w:rPr>
          <w:rFonts w:hint="eastAsia" w:ascii="Times New Roman" w:hAnsi="Times New Roman" w:cs="Times New Roman"/>
          <w:lang w:val="en-US" w:eastAsia="zh-CN"/>
        </w:rPr>
        <w:t>of</w:t>
      </w:r>
      <w:r>
        <w:rPr>
          <w:rFonts w:hint="default" w:ascii="Times New Roman" w:hAnsi="Times New Roman" w:cs="Times New Roman"/>
        </w:rPr>
        <w:t xml:space="preserve"> </w:t>
      </w:r>
      <w:r>
        <w:rPr>
          <w:rFonts w:hint="eastAsia" w:ascii="Times New Roman" w:hAnsi="Times New Roman" w:cs="Times New Roman"/>
          <w:lang w:val="en-US" w:eastAsia="zh-CN"/>
        </w:rPr>
        <w:t>path</w:t>
      </w:r>
      <w:r>
        <w:rPr>
          <w:rFonts w:hint="default" w:ascii="Times New Roman" w:hAnsi="Times New Roman" w:cs="Times New Roman"/>
        </w:rPr>
        <w:t xml:space="preserve"> switching</w:t>
      </w:r>
      <w:r>
        <w:rPr>
          <w:rFonts w:hint="eastAsia" w:ascii="Times New Roman" w:hAnsi="Times New Roman" w:cs="Times New Roman"/>
          <w:lang w:val="en-US" w:eastAsia="zh-CN"/>
        </w:rPr>
        <w:t xml:space="preserve"> from indirect</w:t>
      </w:r>
      <w:r>
        <w:rPr>
          <w:rFonts w:hint="default" w:ascii="Times New Roman" w:hAnsi="Times New Roman" w:cs="Times New Roman"/>
        </w:rPr>
        <w:t xml:space="preserve"> to direct </w:t>
      </w:r>
      <w:r>
        <w:rPr>
          <w:rFonts w:hint="eastAsia" w:ascii="Times New Roman" w:hAnsi="Times New Roman" w:cs="Times New Roman"/>
          <w:lang w:val="en-US" w:eastAsia="zh-CN"/>
        </w:rPr>
        <w:t>path in R17</w:t>
      </w:r>
      <w:r>
        <w:rPr>
          <w:rFonts w:hint="default" w:ascii="Times New Roman" w:hAnsi="Times New Roman" w:cs="Times New Roman"/>
          <w:lang w:val="en-US" w:eastAsia="zh-CN"/>
        </w:rPr>
        <w:t xml:space="preserve"> [1]</w:t>
      </w:r>
    </w:p>
    <w:p>
      <w:pPr>
        <w:jc w:val="center"/>
        <w:rPr>
          <w:rFonts w:hint="default"/>
          <w:b w:val="0"/>
          <w:bCs w:val="0"/>
          <w:lang w:val="en-US" w:eastAsia="zh-CN"/>
        </w:rPr>
      </w:pPr>
      <w:r>
        <w:rPr>
          <w:rFonts w:hint="default"/>
          <w:b w:val="0"/>
          <w:bCs w:val="0"/>
          <w:lang w:val="en-US" w:eastAsia="zh-CN"/>
        </w:rPr>
        <w:object>
          <v:shape id="_x0000_i1026" o:spt="75" type="#_x0000_t75" style="height:229.4pt;width:285.85pt;" o:ole="t" filled="f" o:preferrelative="t" stroked="f" coordsize="21600,21600">
            <v:path/>
            <v:fill on="f" focussize="0,0"/>
            <v:stroke on="f"/>
            <v:imagedata r:id="rId12" o:title=""/>
            <o:lock v:ext="edit" aspectratio="f"/>
            <w10:wrap type="none"/>
            <w10:anchorlock/>
          </v:shape>
          <o:OLEObject Type="Embed" ProgID="Visio.Drawing.15" ShapeID="_x0000_i1026" DrawAspect="Content" ObjectID="_1468075726" r:id="rId11">
            <o:LockedField>false</o:LockedField>
          </o:OLEObject>
        </w:object>
      </w:r>
    </w:p>
    <w:p>
      <w:pPr>
        <w:pStyle w:val="126"/>
        <w:rPr>
          <w:rFonts w:hint="eastAsia" w:ascii="Times New Roman" w:hAnsi="Times New Roman" w:cs="Times New Roman"/>
          <w:lang w:val="en-US" w:eastAsia="zh-CN"/>
        </w:rPr>
      </w:pPr>
      <w:r>
        <w:rPr>
          <w:rFonts w:hint="default" w:ascii="Times New Roman" w:hAnsi="Times New Roman" w:cs="Times New Roman"/>
        </w:rPr>
        <w:t xml:space="preserve">Figure </w:t>
      </w:r>
      <w:r>
        <w:rPr>
          <w:rFonts w:hint="eastAsia" w:ascii="Times New Roman" w:hAnsi="Times New Roman" w:cs="Times New Roman"/>
          <w:lang w:val="en-US" w:eastAsia="zh-CN"/>
        </w:rPr>
        <w:t>2</w:t>
      </w:r>
      <w:r>
        <w:rPr>
          <w:rFonts w:hint="default" w:ascii="Times New Roman" w:hAnsi="Times New Roman" w:cs="Times New Roman"/>
          <w:lang w:val="en-US" w:eastAsia="zh-CN"/>
        </w:rPr>
        <w:t>:</w:t>
      </w:r>
      <w:r>
        <w:rPr>
          <w:rFonts w:hint="default" w:ascii="Times New Roman" w:hAnsi="Times New Roman" w:cs="Times New Roman"/>
        </w:rPr>
        <w:t xml:space="preserve"> Procedure</w:t>
      </w:r>
      <w:r>
        <w:rPr>
          <w:rFonts w:hint="eastAsia" w:ascii="Times New Roman" w:hAnsi="Times New Roman" w:cs="Times New Roman"/>
          <w:lang w:val="en-US" w:eastAsia="zh-CN"/>
        </w:rPr>
        <w:t xml:space="preserve"> of </w:t>
      </w:r>
      <w:r>
        <w:rPr>
          <w:rFonts w:hint="default" w:ascii="Times New Roman" w:hAnsi="Times New Roman" w:cs="Times New Roman"/>
        </w:rPr>
        <w:t>switching</w:t>
      </w:r>
      <w:r>
        <w:rPr>
          <w:rFonts w:hint="eastAsia" w:ascii="Times New Roman" w:hAnsi="Times New Roman" w:cs="Times New Roman"/>
          <w:lang w:val="en-US" w:eastAsia="zh-CN"/>
        </w:rPr>
        <w:t xml:space="preserve"> from indirect</w:t>
      </w:r>
      <w:r>
        <w:rPr>
          <w:rFonts w:hint="default" w:ascii="Times New Roman" w:hAnsi="Times New Roman" w:cs="Times New Roman"/>
        </w:rPr>
        <w:t xml:space="preserve"> to </w:t>
      </w:r>
      <w:r>
        <w:rPr>
          <w:rFonts w:hint="eastAsia" w:ascii="Times New Roman" w:hAnsi="Times New Roman" w:cs="Times New Roman"/>
          <w:lang w:val="en-US" w:eastAsia="zh-CN"/>
        </w:rPr>
        <w:t xml:space="preserve">gNB2 </w:t>
      </w:r>
      <w:r>
        <w:rPr>
          <w:rFonts w:hint="default" w:ascii="Times New Roman" w:hAnsi="Times New Roman" w:cs="Times New Roman"/>
        </w:rPr>
        <w:t xml:space="preserve">direct </w:t>
      </w:r>
      <w:r>
        <w:rPr>
          <w:rFonts w:hint="eastAsia" w:ascii="Times New Roman" w:hAnsi="Times New Roman" w:cs="Times New Roman"/>
          <w:lang w:val="en-US" w:eastAsia="zh-CN"/>
        </w:rPr>
        <w:t xml:space="preserve">path </w:t>
      </w:r>
    </w:p>
    <w:p>
      <w:pPr>
        <w:numPr>
          <w:ilvl w:val="0"/>
          <w:numId w:val="0"/>
        </w:numPr>
        <w:spacing w:before="120" w:after="0" w:line="280" w:lineRule="atLeast"/>
        <w:jc w:val="both"/>
        <w:textAlignment w:val="auto"/>
        <w:rPr>
          <w:rFonts w:hint="eastAsia"/>
          <w:i w:val="0"/>
          <w:iCs w:val="0"/>
          <w:lang w:val="en-US" w:eastAsia="zh-CN"/>
        </w:rPr>
      </w:pPr>
      <w:r>
        <w:rPr>
          <w:rFonts w:hint="eastAsia"/>
          <w:i w:val="0"/>
          <w:iCs w:val="0"/>
          <w:lang w:val="en-US" w:eastAsia="zh-CN"/>
        </w:rPr>
        <w:t>From Remote UE</w:t>
      </w:r>
      <w:r>
        <w:rPr>
          <w:rFonts w:hint="default"/>
          <w:i w:val="0"/>
          <w:iCs w:val="0"/>
          <w:lang w:val="en-US" w:eastAsia="zh-CN"/>
        </w:rPr>
        <w:t>’</w:t>
      </w:r>
      <w:r>
        <w:rPr>
          <w:rFonts w:hint="eastAsia"/>
          <w:i w:val="0"/>
          <w:iCs w:val="0"/>
          <w:lang w:val="en-US" w:eastAsia="zh-CN"/>
        </w:rPr>
        <w:t>s perspective, after it performs measurement report to evaluate both</w:t>
      </w:r>
      <w:r>
        <w:rPr>
          <w:rFonts w:eastAsia="宋体"/>
        </w:rPr>
        <w:t xml:space="preserve"> relay link measurement and Uu link measurement</w:t>
      </w:r>
      <w:r>
        <w:rPr>
          <w:rFonts w:hint="eastAsia"/>
          <w:i w:val="0"/>
          <w:iCs w:val="0"/>
          <w:lang w:val="en-US" w:eastAsia="zh-CN"/>
        </w:rPr>
        <w:t>, it receives RRCReconfiguration message, which including random access resource. For R17 I2D path switching, the RA resource belongs the gNB to which the relay UE connected, and for R18 inter gNB mobility, the RA resource is configured for another gNB. In our understanding, the difference in basic procedure has no specific impacts, except for the measurement configuration and report, which includes inter gNB measurement for R18. From Relay UE</w:t>
      </w:r>
      <w:r>
        <w:rPr>
          <w:rFonts w:hint="default"/>
          <w:i w:val="0"/>
          <w:iCs w:val="0"/>
          <w:lang w:val="en-US" w:eastAsia="zh-CN"/>
        </w:rPr>
        <w:t>’</w:t>
      </w:r>
      <w:r>
        <w:rPr>
          <w:rFonts w:hint="eastAsia"/>
          <w:i w:val="0"/>
          <w:iCs w:val="0"/>
          <w:lang w:val="en-US" w:eastAsia="zh-CN"/>
        </w:rPr>
        <w:t xml:space="preserve">s perspective, after the remote UE receives the reconfiguration message and finishes handover or path switching, gNB will send RRCReconfiguration message to relay UE for PC5 link release and SL relay configuration release, </w:t>
      </w:r>
      <w:r>
        <w:rPr>
          <w:rFonts w:eastAsia="宋体"/>
        </w:rPr>
        <w:t xml:space="preserve">e.g., to release Uu and PC5 </w:t>
      </w:r>
      <w:r>
        <w:t>Relay</w:t>
      </w:r>
      <w:r>
        <w:rPr>
          <w:rFonts w:eastAsia="宋体"/>
        </w:rPr>
        <w:t xml:space="preserve"> RLC channel configuration for relaying, and bearer mapping configuration between PC5 RLC and Uu RLC</w:t>
      </w:r>
      <w:r>
        <w:rPr>
          <w:rFonts w:hint="eastAsia" w:eastAsia="宋体"/>
          <w:lang w:val="en-US" w:eastAsia="zh-CN"/>
        </w:rPr>
        <w:t xml:space="preserve">. What needs to be emphasized is that, for </w:t>
      </w:r>
      <w:r>
        <w:rPr>
          <w:rFonts w:hint="eastAsia"/>
          <w:i w:val="0"/>
          <w:iCs w:val="0"/>
          <w:lang w:val="en-US" w:eastAsia="zh-CN"/>
        </w:rPr>
        <w:t>R18 inter gNB mobility, the RRCReconfiguration for relay UE is perform by source gNB. So, from relay UE, the procedure is consistent with R17 behaviour. From gNB</w:t>
      </w:r>
      <w:r>
        <w:rPr>
          <w:rFonts w:hint="default"/>
          <w:i w:val="0"/>
          <w:iCs w:val="0"/>
          <w:lang w:val="en-US" w:eastAsia="zh-CN"/>
        </w:rPr>
        <w:t>’</w:t>
      </w:r>
      <w:r>
        <w:rPr>
          <w:rFonts w:hint="eastAsia"/>
          <w:i w:val="0"/>
          <w:iCs w:val="0"/>
          <w:lang w:val="en-US" w:eastAsia="zh-CN"/>
        </w:rPr>
        <w:t xml:space="preserve">s point of view, scenario A in R18 should consider the inter-working between source and target gNB, which may belong to RAN3 scope.  </w:t>
      </w:r>
    </w:p>
    <w:p>
      <w:pPr>
        <w:numPr>
          <w:ilvl w:val="0"/>
          <w:numId w:val="0"/>
        </w:numPr>
        <w:spacing w:before="120" w:after="0" w:line="280" w:lineRule="atLeast"/>
        <w:jc w:val="both"/>
        <w:textAlignment w:val="auto"/>
        <w:rPr>
          <w:rFonts w:hint="eastAsia"/>
          <w:i w:val="0"/>
          <w:iCs w:val="0"/>
          <w:lang w:val="en-US" w:eastAsia="zh-CN"/>
        </w:rPr>
      </w:pPr>
      <w:r>
        <w:rPr>
          <w:rFonts w:hint="eastAsia"/>
          <w:i w:val="0"/>
          <w:iCs w:val="0"/>
          <w:lang w:val="en-US" w:eastAsia="zh-CN"/>
        </w:rPr>
        <w:t>In conclusion, for scenario A, the basic procedure of indirect to direct path switching can be reused, and RAN2 can focus on measurement configuration and measurement report. The Xn interface procedure should be left the RAN3.</w:t>
      </w:r>
    </w:p>
    <w:p>
      <w:pPr>
        <w:numPr>
          <w:ilvl w:val="0"/>
          <w:numId w:val="0"/>
        </w:numPr>
        <w:spacing w:before="120" w:after="0" w:line="280" w:lineRule="atLeast"/>
        <w:jc w:val="both"/>
        <w:textAlignment w:val="auto"/>
        <w:rPr>
          <w:i w:val="0"/>
          <w:iCs w:val="0"/>
          <w:lang w:eastAsia="ko-KR"/>
        </w:rPr>
      </w:pPr>
      <w:r>
        <w:rPr>
          <w:rFonts w:hint="eastAsia"/>
          <w:i w:val="0"/>
          <w:iCs w:val="0"/>
          <w:lang w:val="en-US" w:eastAsia="zh-CN"/>
        </w:rPr>
        <w:t>For scenario B in R18, it is similar as path switch from direct to indirect path case of R17. The analysis and comparison are close to the scenario A and path switch from indirect to direct path, as we discussed above. For scenario C, the path switch from source relay to target relay UE, the procedure is different from relay UE re-selection case in R17. The little diffidence is that, for scenario C, the path switch is triggered by measurement report and under network control, so we should consider more on the measurement configuration for that. For scenario D, it is the comprehensive case of the other scenarios, it can supported</w:t>
      </w:r>
      <w:r>
        <w:rPr>
          <w:i w:val="0"/>
          <w:iCs w:val="0"/>
          <w:lang w:eastAsia="ko-KR"/>
        </w:rPr>
        <w:t xml:space="preserve"> without specific optimizations.</w:t>
      </w:r>
    </w:p>
    <w:p>
      <w:pPr>
        <w:numPr>
          <w:ilvl w:val="0"/>
          <w:numId w:val="0"/>
        </w:numPr>
        <w:spacing w:before="120" w:after="0" w:line="280" w:lineRule="atLeast"/>
        <w:jc w:val="both"/>
        <w:textAlignment w:val="auto"/>
        <w:rPr>
          <w:rFonts w:hint="default"/>
          <w:i w:val="0"/>
          <w:iCs w:val="0"/>
          <w:lang w:val="en-US" w:eastAsia="zh-CN"/>
        </w:rPr>
      </w:pPr>
    </w:p>
    <w:p>
      <w:pPr>
        <w:rPr>
          <w:rFonts w:hint="default"/>
          <w:b/>
          <w:bCs/>
          <w:lang w:val="en-US" w:eastAsia="zh-CN"/>
        </w:rPr>
      </w:pPr>
      <w:r>
        <w:rPr>
          <w:rFonts w:hint="eastAsia"/>
          <w:b/>
          <w:bCs/>
          <w:lang w:val="en-US" w:eastAsia="zh-CN"/>
        </w:rPr>
        <w:t>Proposal 1: Path switching procedure between indirect and direct path in R17 and legacy HO can be used as baseline for R18 service continuity.</w:t>
      </w:r>
    </w:p>
    <w:p>
      <w:pPr>
        <w:jc w:val="both"/>
        <w:rPr>
          <w:rFonts w:hint="default"/>
          <w:b/>
          <w:bCs/>
          <w:lang w:val="en-US" w:eastAsia="zh-CN"/>
        </w:rPr>
      </w:pPr>
      <w:r>
        <w:rPr>
          <w:b/>
          <w:bCs/>
        </w:rPr>
        <w:t>P</w:t>
      </w:r>
      <w:r>
        <w:rPr>
          <w:rFonts w:hint="eastAsia"/>
          <w:b/>
          <w:bCs/>
        </w:rPr>
        <w:t>roposal</w:t>
      </w:r>
      <w:r>
        <w:rPr>
          <w:rFonts w:hint="eastAsia"/>
          <w:b/>
          <w:bCs/>
          <w:lang w:val="en-US" w:eastAsia="zh-CN"/>
        </w:rPr>
        <w:t xml:space="preserve"> 2</w:t>
      </w:r>
      <w:r>
        <w:rPr>
          <w:rFonts w:hint="eastAsia"/>
          <w:b/>
          <w:bCs/>
        </w:rPr>
        <w:t xml:space="preserve">: </w:t>
      </w:r>
      <w:r>
        <w:rPr>
          <w:rFonts w:hint="eastAsia"/>
          <w:b/>
          <w:bCs/>
          <w:lang w:val="en-US" w:eastAsia="zh-CN"/>
        </w:rPr>
        <w:t>Focus on measurement configuration/ report and handover condition in RAN2; Xn interface procedures are RAN3 scope.</w:t>
      </w:r>
    </w:p>
    <w:bookmarkEnd w:id="8"/>
    <w:p>
      <w:pPr>
        <w:pStyle w:val="2"/>
      </w:pPr>
      <w:r>
        <w:t>Conclusions</w:t>
      </w:r>
    </w:p>
    <w:p>
      <w:r>
        <w:rPr>
          <w:rFonts w:hint="eastAsia"/>
        </w:rPr>
        <w:t xml:space="preserve">According the above discussion we have following proposals: </w:t>
      </w:r>
    </w:p>
    <w:p>
      <w:pPr>
        <w:rPr>
          <w:rFonts w:hint="default"/>
          <w:b/>
          <w:bCs/>
          <w:lang w:val="en-US" w:eastAsia="zh-CN"/>
        </w:rPr>
      </w:pPr>
      <w:r>
        <w:rPr>
          <w:rFonts w:hint="eastAsia"/>
          <w:b/>
          <w:bCs/>
          <w:lang w:val="en-US" w:eastAsia="zh-CN"/>
        </w:rPr>
        <w:t>Proposal 1: Path switching procedure between indirect and direct path in R17 and legacy HO can be used as baseline for R18 service continuity.</w:t>
      </w:r>
    </w:p>
    <w:p>
      <w:pPr>
        <w:jc w:val="both"/>
        <w:rPr>
          <w:rFonts w:hint="default"/>
          <w:b/>
          <w:bCs/>
          <w:lang w:val="en-US" w:eastAsia="zh-CN"/>
        </w:rPr>
      </w:pPr>
      <w:r>
        <w:rPr>
          <w:b/>
          <w:bCs/>
        </w:rPr>
        <w:t>P</w:t>
      </w:r>
      <w:r>
        <w:rPr>
          <w:rFonts w:hint="eastAsia"/>
          <w:b/>
          <w:bCs/>
        </w:rPr>
        <w:t>roposal</w:t>
      </w:r>
      <w:r>
        <w:rPr>
          <w:rFonts w:hint="eastAsia"/>
          <w:b/>
          <w:bCs/>
          <w:lang w:val="en-US" w:eastAsia="zh-CN"/>
        </w:rPr>
        <w:t xml:space="preserve"> 2</w:t>
      </w:r>
      <w:r>
        <w:rPr>
          <w:rFonts w:hint="eastAsia"/>
          <w:b/>
          <w:bCs/>
        </w:rPr>
        <w:t xml:space="preserve">: </w:t>
      </w:r>
      <w:r>
        <w:rPr>
          <w:rFonts w:hint="eastAsia"/>
          <w:b/>
          <w:bCs/>
          <w:lang w:val="en-US" w:eastAsia="zh-CN"/>
        </w:rPr>
        <w:t>Focus on measurement configuration/ report and handover condition in RAN2; Xn interface procedures are RAN3 scope.</w:t>
      </w:r>
    </w:p>
    <w:p>
      <w:pPr>
        <w:pStyle w:val="2"/>
      </w:pPr>
      <w:r>
        <w:t>References</w:t>
      </w:r>
    </w:p>
    <w:p>
      <w:pPr>
        <w:tabs>
          <w:tab w:val="left" w:pos="1985"/>
        </w:tabs>
        <w:adjustRightInd/>
        <w:ind w:left="1985" w:hanging="1985"/>
        <w:outlineLvl w:val="0"/>
        <w:rPr>
          <w:rFonts w:hint="eastAsia" w:eastAsiaTheme="minorEastAsia"/>
          <w:bCs/>
          <w:lang w:val="en-US" w:eastAsia="zh-CN"/>
        </w:rPr>
      </w:pPr>
      <w:r>
        <w:rPr>
          <w:bCs/>
        </w:rPr>
        <w:t xml:space="preserve">[1] </w:t>
      </w:r>
      <w:bookmarkStart w:id="9" w:name="_GoBack"/>
      <w:bookmarkEnd w:id="9"/>
      <w:r>
        <w:rPr>
          <w:rFonts w:hint="eastAsia"/>
          <w:bCs/>
          <w:lang w:val="en-US" w:eastAsia="zh-CN"/>
        </w:rPr>
        <w:t xml:space="preserve">WID for </w:t>
      </w:r>
      <w:r>
        <w:t xml:space="preserve">NR sidelink relay </w:t>
      </w:r>
      <w:r>
        <w:rPr>
          <w:rFonts w:hint="eastAsia"/>
          <w:lang w:eastAsia="ko-KR"/>
        </w:rPr>
        <w:t>enhancements</w:t>
      </w:r>
    </w:p>
    <w:p>
      <w:pPr>
        <w:jc w:val="both"/>
        <w:rPr>
          <w:highlight w:val="gree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0A9349A"/>
    <w:multiLevelType w:val="multilevel"/>
    <w:tmpl w:val="20A9349A"/>
    <w:lvl w:ilvl="0" w:tentative="0">
      <w:start w:val="1"/>
      <w:numFmt w:val="decimal"/>
      <w:lvlText w:val="%1."/>
      <w:lvlJc w:val="left"/>
      <w:pPr>
        <w:ind w:left="360" w:hanging="360"/>
      </w:pPr>
      <w:rPr>
        <w:rFonts w:hint="eastAsia"/>
      </w:rPr>
    </w:lvl>
    <w:lvl w:ilvl="1" w:tentative="0">
      <w:start w:val="1"/>
      <w:numFmt w:val="upperLetter"/>
      <w:lvlText w:val="%2."/>
      <w:lvlJc w:val="left"/>
      <w:pPr>
        <w:ind w:left="800" w:hanging="400"/>
      </w:pPr>
    </w:lvl>
    <w:lvl w:ilvl="2" w:tentative="0">
      <w:start w:val="1"/>
      <w:numFmt w:val="lowerRoman"/>
      <w:lvlText w:val="%3."/>
      <w:lvlJc w:val="right"/>
      <w:pPr>
        <w:ind w:left="1200" w:hanging="400"/>
      </w:pPr>
    </w:lvl>
    <w:lvl w:ilvl="3" w:tentative="0">
      <w:start w:val="1"/>
      <w:numFmt w:val="decimal"/>
      <w:lvlText w:val="%4."/>
      <w:lvlJc w:val="left"/>
      <w:pPr>
        <w:ind w:left="1600" w:hanging="400"/>
      </w:pPr>
    </w:lvl>
    <w:lvl w:ilvl="4" w:tentative="0">
      <w:start w:val="1"/>
      <w:numFmt w:val="upperLetter"/>
      <w:lvlText w:val="%5."/>
      <w:lvlJc w:val="left"/>
      <w:pPr>
        <w:ind w:left="2000" w:hanging="400"/>
      </w:pPr>
    </w:lvl>
    <w:lvl w:ilvl="5" w:tentative="0">
      <w:start w:val="1"/>
      <w:numFmt w:val="lowerRoman"/>
      <w:lvlText w:val="%6."/>
      <w:lvlJc w:val="right"/>
      <w:pPr>
        <w:ind w:left="2400" w:hanging="400"/>
      </w:pPr>
    </w:lvl>
    <w:lvl w:ilvl="6" w:tentative="0">
      <w:start w:val="1"/>
      <w:numFmt w:val="decimal"/>
      <w:lvlText w:val="%7."/>
      <w:lvlJc w:val="left"/>
      <w:pPr>
        <w:ind w:left="2800" w:hanging="400"/>
      </w:pPr>
    </w:lvl>
    <w:lvl w:ilvl="7" w:tentative="0">
      <w:start w:val="1"/>
      <w:numFmt w:val="upperLetter"/>
      <w:lvlText w:val="%8."/>
      <w:lvlJc w:val="left"/>
      <w:pPr>
        <w:ind w:left="3200" w:hanging="400"/>
      </w:pPr>
    </w:lvl>
    <w:lvl w:ilvl="8" w:tentative="0">
      <w:start w:val="1"/>
      <w:numFmt w:val="lowerRoman"/>
      <w:lvlText w:val="%9."/>
      <w:lvlJc w:val="right"/>
      <w:pPr>
        <w:ind w:left="3600" w:hanging="400"/>
      </w:pPr>
    </w:lvl>
  </w:abstractNum>
  <w:abstractNum w:abstractNumId="5">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2">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4">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0">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4">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1"/>
  </w:num>
  <w:num w:numId="2">
    <w:abstractNumId w:val="0"/>
  </w:num>
  <w:num w:numId="3">
    <w:abstractNumId w:val="25"/>
  </w:num>
  <w:num w:numId="4">
    <w:abstractNumId w:val="12"/>
  </w:num>
  <w:num w:numId="5">
    <w:abstractNumId w:val="8"/>
  </w:num>
  <w:num w:numId="6">
    <w:abstractNumId w:val="10"/>
  </w:num>
  <w:num w:numId="7">
    <w:abstractNumId w:val="13"/>
  </w:num>
  <w:num w:numId="8">
    <w:abstractNumId w:val="14"/>
  </w:num>
  <w:num w:numId="9">
    <w:abstractNumId w:val="27"/>
  </w:num>
  <w:num w:numId="10">
    <w:abstractNumId w:val="15"/>
  </w:num>
  <w:num w:numId="11">
    <w:abstractNumId w:val="23"/>
  </w:num>
  <w:num w:numId="12">
    <w:abstractNumId w:val="11"/>
  </w:num>
  <w:num w:numId="13">
    <w:abstractNumId w:val="1"/>
  </w:num>
  <w:num w:numId="14">
    <w:abstractNumId w:val="3"/>
  </w:num>
  <w:num w:numId="15">
    <w:abstractNumId w:val="22"/>
  </w:num>
  <w:num w:numId="16">
    <w:abstractNumId w:val="7"/>
  </w:num>
  <w:num w:numId="17">
    <w:abstractNumId w:val="18"/>
  </w:num>
  <w:num w:numId="18">
    <w:abstractNumId w:val="24"/>
  </w:num>
  <w:num w:numId="19">
    <w:abstractNumId w:val="2"/>
  </w:num>
  <w:num w:numId="20">
    <w:abstractNumId w:val="26"/>
  </w:num>
  <w:num w:numId="21">
    <w:abstractNumId w:val="20"/>
  </w:num>
  <w:num w:numId="22">
    <w:abstractNumId w:val="9"/>
  </w:num>
  <w:num w:numId="23">
    <w:abstractNumId w:val="16"/>
  </w:num>
  <w:num w:numId="24">
    <w:abstractNumId w:val="17"/>
  </w:num>
  <w:num w:numId="25">
    <w:abstractNumId w:val="6"/>
  </w:num>
  <w:num w:numId="26">
    <w:abstractNumId w:val="5"/>
  </w:num>
  <w:num w:numId="27">
    <w:abstractNumId w:val="19"/>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hyphenationZone w:val="425"/>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7A244B"/>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4C565A"/>
    <w:rsid w:val="17642A82"/>
    <w:rsid w:val="17DA3C99"/>
    <w:rsid w:val="181C3988"/>
    <w:rsid w:val="1858112E"/>
    <w:rsid w:val="18B67761"/>
    <w:rsid w:val="18DD4580"/>
    <w:rsid w:val="192A5F9C"/>
    <w:rsid w:val="19625EA7"/>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1A73770"/>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45403E"/>
    <w:rsid w:val="3BCA6819"/>
    <w:rsid w:val="3BE512AD"/>
    <w:rsid w:val="3BEE5E77"/>
    <w:rsid w:val="3BF3033E"/>
    <w:rsid w:val="3CBD7CCD"/>
    <w:rsid w:val="3CCF0A8C"/>
    <w:rsid w:val="3CF05EED"/>
    <w:rsid w:val="3D0A20B5"/>
    <w:rsid w:val="3E0C4398"/>
    <w:rsid w:val="3E3775C4"/>
    <w:rsid w:val="3E9714F9"/>
    <w:rsid w:val="3EC978CF"/>
    <w:rsid w:val="3F0C727A"/>
    <w:rsid w:val="3F301EA6"/>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196BD9"/>
    <w:rsid w:val="493E309A"/>
    <w:rsid w:val="4944338E"/>
    <w:rsid w:val="49591134"/>
    <w:rsid w:val="499D10E1"/>
    <w:rsid w:val="49D54A18"/>
    <w:rsid w:val="49E46EA6"/>
    <w:rsid w:val="49FB4FB3"/>
    <w:rsid w:val="4A0F32E7"/>
    <w:rsid w:val="4A1E34CC"/>
    <w:rsid w:val="4A221AB4"/>
    <w:rsid w:val="4A660B78"/>
    <w:rsid w:val="4A75754C"/>
    <w:rsid w:val="4AA8165B"/>
    <w:rsid w:val="4AA86352"/>
    <w:rsid w:val="4AB663E9"/>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364AA"/>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113B9C"/>
    <w:rsid w:val="7E2C1F7D"/>
    <w:rsid w:val="7E863A85"/>
    <w:rsid w:val="7EDB244F"/>
    <w:rsid w:val="7EEE5756"/>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3</Pages>
  <Words>791</Words>
  <Characters>4513</Characters>
  <Lines>37</Lines>
  <Paragraphs>10</Paragraphs>
  <TotalTime>1</TotalTime>
  <ScaleCrop>false</ScaleCrop>
  <LinksUpToDate>false</LinksUpToDate>
  <CharactersWithSpaces>5294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CMCC - Xueyan HUANG</cp:lastModifiedBy>
  <cp:lastPrinted>2018-09-28T06:47:00Z</cp:lastPrinted>
  <dcterms:modified xsi:type="dcterms:W3CDTF">2022-08-10T06:12:21Z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